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Санкт-Петербург по адресу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 http://spb.flamp.ru/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150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