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Екатеринбург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по адресу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 http://ekaterinburg.flamp.ru/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150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